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DB" w:rsidRDefault="00E048F4">
      <w:pPr>
        <w:rPr>
          <w:rFonts w:ascii="ＭＳ ゴシック" w:hAnsi="ＭＳ ゴシック"/>
          <w:color w:val="000000"/>
          <w:sz w:val="21"/>
          <w:szCs w:val="22"/>
        </w:rPr>
      </w:pPr>
      <w:bookmarkStart w:id="0" w:name="_GoBack"/>
      <w:bookmarkEnd w:id="0"/>
      <w:r>
        <w:rPr>
          <w:rFonts w:ascii="ＭＳ ゴシック" w:hAnsi="ＭＳ ゴシック" w:hint="eastAsia"/>
          <w:color w:val="000000"/>
          <w:sz w:val="32"/>
          <w:szCs w:val="22"/>
        </w:rPr>
        <w:t xml:space="preserve">　　　　</w:t>
      </w:r>
      <w:r>
        <w:rPr>
          <w:rFonts w:ascii="ＭＳ ゴシック" w:hAnsi="ＭＳ ゴシック" w:hint="eastAsia"/>
          <w:color w:val="000000"/>
          <w:sz w:val="32"/>
          <w:szCs w:val="22"/>
        </w:rPr>
        <w:t>法制史学会</w:t>
      </w:r>
      <w:r>
        <w:rPr>
          <w:rFonts w:ascii="ＭＳ ゴシック" w:hAnsi="ＭＳ ゴシック" w:hint="eastAsia"/>
          <w:color w:val="000000"/>
          <w:sz w:val="32"/>
          <w:szCs w:val="22"/>
        </w:rPr>
        <w:t>秋季シンポジウム</w:t>
      </w:r>
      <w:r>
        <w:rPr>
          <w:rFonts w:ascii="ＭＳ ゴシック" w:hAnsi="ＭＳ ゴシック" w:hint="eastAsia"/>
          <w:color w:val="000000"/>
          <w:sz w:val="32"/>
          <w:szCs w:val="22"/>
        </w:rPr>
        <w:t>のご案内</w:t>
      </w:r>
    </w:p>
    <w:p w:rsidR="003765DB" w:rsidRDefault="003765DB">
      <w:pPr>
        <w:rPr>
          <w:rFonts w:ascii="ＭＳ ゴシック" w:hAnsi="ＭＳ ゴシック"/>
          <w:color w:val="000000"/>
          <w:sz w:val="21"/>
          <w:szCs w:val="22"/>
        </w:rPr>
      </w:pPr>
    </w:p>
    <w:p w:rsidR="003765DB" w:rsidRDefault="00E048F4">
      <w:pPr>
        <w:rPr>
          <w:rFonts w:ascii="ＭＳ 明朝" w:hAnsi="ＭＳ 明朝"/>
          <w:color w:val="000000"/>
          <w:sz w:val="21"/>
          <w:szCs w:val="22"/>
        </w:rPr>
      </w:pPr>
      <w:r>
        <w:rPr>
          <w:rFonts w:ascii="ＭＳ ゴシック" w:hAnsi="ＭＳ ゴシック" w:hint="eastAsia"/>
          <w:color w:val="000000"/>
          <w:sz w:val="21"/>
          <w:szCs w:val="22"/>
        </w:rPr>
        <w:t xml:space="preserve">　法制史学会では、春の総会以外に、数年に一度、秋季の特別シンポジウムを開催しております。今回</w:t>
      </w:r>
      <w:r>
        <w:rPr>
          <w:rFonts w:ascii="ＭＳ ゴシック" w:hAnsi="ＭＳ ゴシック" w:hint="eastAsia"/>
          <w:color w:val="000000"/>
          <w:sz w:val="21"/>
          <w:szCs w:val="22"/>
        </w:rPr>
        <w:t>は</w:t>
      </w:r>
      <w:r>
        <w:rPr>
          <w:rFonts w:ascii="ＭＳ ゴシック" w:hAnsi="ＭＳ ゴシック" w:hint="eastAsia"/>
          <w:color w:val="000000"/>
          <w:sz w:val="21"/>
          <w:szCs w:val="22"/>
        </w:rPr>
        <w:t>「法制史研究の新しい方法」をテーマに、海外からのゲストも</w:t>
      </w:r>
      <w:r>
        <w:rPr>
          <w:rFonts w:ascii="ＭＳ ゴシック" w:hAnsi="ＭＳ ゴシック" w:hint="eastAsia"/>
          <w:color w:val="000000"/>
          <w:sz w:val="21"/>
          <w:szCs w:val="22"/>
        </w:rPr>
        <w:t>お招き</w:t>
      </w:r>
      <w:r>
        <w:rPr>
          <w:rFonts w:ascii="ＭＳ ゴシック" w:hAnsi="ＭＳ ゴシック" w:hint="eastAsia"/>
          <w:color w:val="000000"/>
          <w:sz w:val="21"/>
          <w:szCs w:val="22"/>
        </w:rPr>
        <w:t>してシンポジウムを企画させていただきました。「法図像学」、「法と文学」、「グローバル・</w:t>
      </w:r>
      <w:r>
        <w:rPr>
          <w:rFonts w:ascii="ＭＳ ゴシック" w:hAnsi="ＭＳ ゴシック" w:hint="eastAsia"/>
          <w:color w:val="000000"/>
          <w:sz w:val="21"/>
          <w:szCs w:val="22"/>
        </w:rPr>
        <w:t>リーガル・</w:t>
      </w:r>
      <w:r>
        <w:rPr>
          <w:rFonts w:ascii="ＭＳ ゴシック" w:hAnsi="ＭＳ ゴシック" w:hint="eastAsia"/>
          <w:color w:val="000000"/>
          <w:sz w:val="21"/>
          <w:szCs w:val="22"/>
        </w:rPr>
        <w:t>ヒストリー」を扱う各部では、法制史研究の新しい方法の試みとその具体的題材への適用例が報告され、その方法の専門分野の研究者が報告にコメントします。議論を通じて、</w:t>
      </w:r>
      <w:r>
        <w:rPr>
          <w:rFonts w:ascii="ＭＳ 明朝" w:hAnsi="ＭＳ 明朝" w:hint="eastAsia"/>
          <w:color w:val="000000"/>
          <w:sz w:val="21"/>
          <w:szCs w:val="22"/>
        </w:rPr>
        <w:t>法制史研究の新しい手法の可能性を探る</w:t>
      </w:r>
      <w:r>
        <w:rPr>
          <w:rFonts w:ascii="ＭＳ 明朝" w:hAnsi="ＭＳ 明朝" w:hint="eastAsia"/>
          <w:color w:val="000000"/>
          <w:sz w:val="21"/>
          <w:szCs w:val="22"/>
        </w:rPr>
        <w:t>とともに、</w:t>
      </w:r>
      <w:r>
        <w:rPr>
          <w:rFonts w:ascii="ＭＳ 明朝" w:hAnsi="ＭＳ 明朝" w:hint="eastAsia"/>
          <w:color w:val="000000"/>
          <w:sz w:val="21"/>
          <w:szCs w:val="22"/>
        </w:rPr>
        <w:t>法制史の特色を</w:t>
      </w:r>
      <w:r>
        <w:rPr>
          <w:rFonts w:ascii="ＭＳ 明朝" w:hAnsi="ＭＳ 明朝" w:hint="eastAsia"/>
          <w:color w:val="000000"/>
          <w:sz w:val="21"/>
          <w:szCs w:val="22"/>
        </w:rPr>
        <w:t>も</w:t>
      </w:r>
      <w:r>
        <w:rPr>
          <w:rFonts w:ascii="ＭＳ 明朝" w:hAnsi="ＭＳ 明朝" w:hint="eastAsia"/>
          <w:color w:val="000000"/>
          <w:sz w:val="21"/>
          <w:szCs w:val="22"/>
        </w:rPr>
        <w:t>省察</w:t>
      </w:r>
      <w:r>
        <w:rPr>
          <w:rFonts w:ascii="ＭＳ 明朝" w:hAnsi="ＭＳ 明朝" w:hint="eastAsia"/>
          <w:color w:val="000000"/>
          <w:sz w:val="21"/>
          <w:szCs w:val="22"/>
        </w:rPr>
        <w:t>したいと思います。皆さまどうぞ奮ってご参加下さい。</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（文責：田口正樹）</w:t>
      </w:r>
    </w:p>
    <w:p w:rsidR="003765DB" w:rsidRDefault="00E048F4">
      <w:pPr>
        <w:rPr>
          <w:rFonts w:ascii="ＭＳ ゴシック" w:hAnsi="ＭＳ ゴシック"/>
          <w:color w:val="000000"/>
          <w:sz w:val="21"/>
          <w:szCs w:val="22"/>
        </w:rPr>
      </w:pPr>
      <w:r>
        <w:rPr>
          <w:rFonts w:ascii="ＭＳ ゴシック" w:eastAsia="ＭＳ ゴシック" w:hAnsi="ＭＳ ゴシック" w:hint="eastAsia"/>
          <w:color w:val="000000"/>
          <w:sz w:val="21"/>
          <w:szCs w:val="22"/>
        </w:rPr>
        <w:t xml:space="preserve">　　　　　　　　　　　　　　　　　　　　　　　　　　　　　　　　　</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 xml:space="preserve">　　　　　</w:t>
      </w:r>
    </w:p>
    <w:p w:rsidR="003765DB" w:rsidRDefault="00E048F4">
      <w:pPr>
        <w:rPr>
          <w:rFonts w:ascii="ＭＳ ゴシック" w:eastAsia="ＭＳ ゴシック" w:hAnsi="ＭＳ ゴシック"/>
          <w:color w:val="000000"/>
          <w:szCs w:val="22"/>
        </w:rPr>
      </w:pPr>
      <w:r>
        <w:rPr>
          <w:rFonts w:ascii="ＭＳ ゴシック" w:hAnsi="ＭＳ ゴシック" w:hint="eastAsia"/>
          <w:color w:val="000000"/>
          <w:szCs w:val="22"/>
        </w:rPr>
        <w:t>テーマ：法制史研究の新しい方法</w:t>
      </w:r>
    </w:p>
    <w:p w:rsidR="003765DB" w:rsidRDefault="00E048F4">
      <w:pPr>
        <w:rPr>
          <w:rFonts w:ascii="ＭＳ 明朝" w:hAnsi="ＭＳ 明朝"/>
          <w:color w:val="000000"/>
          <w:szCs w:val="22"/>
        </w:rPr>
      </w:pPr>
      <w:r>
        <w:rPr>
          <w:rFonts w:ascii="ＭＳ 明朝" w:hAnsi="ＭＳ 明朝" w:hint="eastAsia"/>
          <w:color w:val="000000"/>
          <w:szCs w:val="22"/>
        </w:rPr>
        <w:t>日程</w:t>
      </w:r>
      <w:r>
        <w:rPr>
          <w:rFonts w:ascii="ＭＳ 明朝" w:hAnsi="ＭＳ 明朝" w:hint="eastAsia"/>
          <w:color w:val="000000"/>
          <w:szCs w:val="22"/>
        </w:rPr>
        <w:t>：２０１５年</w:t>
      </w:r>
      <w:r>
        <w:rPr>
          <w:rFonts w:ascii="ＭＳ 明朝" w:hAnsi="ＭＳ 明朝" w:hint="eastAsia"/>
          <w:color w:val="000000"/>
          <w:szCs w:val="22"/>
        </w:rPr>
        <w:t>１０月１１日（日）</w:t>
      </w:r>
    </w:p>
    <w:p w:rsidR="003765DB" w:rsidRDefault="00E048F4">
      <w:pPr>
        <w:rPr>
          <w:rFonts w:ascii="ＭＳ 明朝" w:hAnsi="ＭＳ 明朝"/>
          <w:color w:val="000000"/>
          <w:szCs w:val="22"/>
        </w:rPr>
      </w:pPr>
      <w:r>
        <w:rPr>
          <w:rFonts w:ascii="ＭＳ 明朝" w:hAnsi="ＭＳ 明朝" w:hint="eastAsia"/>
          <w:color w:val="000000"/>
          <w:szCs w:val="22"/>
        </w:rPr>
        <w:t>場所：</w:t>
      </w:r>
      <w:r>
        <w:rPr>
          <w:rFonts w:ascii="ＭＳ 明朝" w:hAnsi="ＭＳ 明朝" w:hint="eastAsia"/>
          <w:color w:val="000000"/>
          <w:szCs w:val="22"/>
        </w:rPr>
        <w:t>明治大学駿河台キャンパス・リバティータワー１５階１１５３教室</w:t>
      </w:r>
    </w:p>
    <w:p w:rsidR="003765DB" w:rsidRDefault="003765DB">
      <w:pPr>
        <w:rPr>
          <w:rFonts w:ascii="ＭＳ 明朝" w:hAnsi="ＭＳ 明朝"/>
          <w:color w:val="000000"/>
          <w:szCs w:val="22"/>
        </w:rPr>
      </w:pPr>
    </w:p>
    <w:p w:rsidR="003765DB" w:rsidRDefault="00E048F4">
      <w:pPr>
        <w:rPr>
          <w:rFonts w:ascii="ＭＳ 明朝" w:hAnsi="ＭＳ 明朝"/>
          <w:color w:val="000000"/>
          <w:szCs w:val="22"/>
          <w:u w:val="single"/>
        </w:rPr>
      </w:pPr>
      <w:r>
        <w:rPr>
          <w:rFonts w:ascii="ＭＳ 明朝" w:hAnsi="ＭＳ 明朝" w:hint="eastAsia"/>
          <w:color w:val="000000"/>
          <w:szCs w:val="22"/>
          <w:u w:val="single"/>
        </w:rPr>
        <w:t>会場案内</w:t>
      </w:r>
    </w:p>
    <w:p w:rsidR="003765DB" w:rsidRDefault="00E048F4">
      <w:pPr>
        <w:rPr>
          <w:rFonts w:ascii="ＭＳ 明朝" w:hAnsi="ＭＳ 明朝"/>
          <w:color w:val="000000"/>
          <w:szCs w:val="22"/>
        </w:rPr>
      </w:pPr>
      <w:hyperlink r:id="rId8" w:history="1">
        <w:r>
          <w:rPr>
            <w:rFonts w:ascii="SimSun" w:hAnsi="SimSun"/>
          </w:rPr>
          <w:fldChar w:fldCharType="begin"/>
        </w:r>
        <w:r>
          <w:rPr>
            <w:rFonts w:ascii="SimSun" w:hAnsi="SimSun"/>
          </w:rPr>
          <w:instrText>INCLUDEPICTURE "https://www.meiji.ac.jp/koho/campus_guide/suruga/6t5h7p000001h0vk-img/surugadai_1.png"</w:instrText>
        </w:r>
        <w:r>
          <w:rPr>
            <w:rFonts w:ascii="SimSun" w:hAnsi="SimSun"/>
          </w:rPr>
          <w:fldChar w:fldCharType="separate"/>
        </w:r>
        <w:r>
          <w:rPr>
            <w:rFonts w:ascii="SimSun" w:hAnsi="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の枠 2" o:spid="_x0000_i1025" type="#_x0000_t75" style="width:405pt;height:303.75pt">
              <v:imagedata r:id="rId9" r:href="rId10"/>
            </v:shape>
          </w:pict>
        </w:r>
        <w:r>
          <w:rPr>
            <w:rFonts w:ascii="SimSun" w:hAnsi="SimSun"/>
          </w:rPr>
          <w:fldChar w:fldCharType="end"/>
        </w:r>
      </w:hyperlink>
    </w:p>
    <w:p w:rsidR="003765DB" w:rsidRDefault="003765DB">
      <w:pPr>
        <w:rPr>
          <w:rFonts w:ascii="SimSun" w:hAnsi="SimSun"/>
          <w:b/>
        </w:rPr>
      </w:pPr>
    </w:p>
    <w:p w:rsidR="003765DB" w:rsidRDefault="00E048F4">
      <w:pPr>
        <w:rPr>
          <w:rFonts w:ascii="SimSun" w:hAnsi="SimSun"/>
          <w:b/>
        </w:rPr>
      </w:pPr>
      <w:r>
        <w:rPr>
          <w:rFonts w:ascii="SimSun" w:hAnsi="SimSun"/>
        </w:rPr>
        <w:fldChar w:fldCharType="begin"/>
      </w:r>
      <w:r>
        <w:rPr>
          <w:rFonts w:ascii="SimSun" w:hAnsi="SimSun"/>
        </w:rPr>
        <w:instrText>INCLUDEPICTURE "</w:instrText>
      </w:r>
      <w:r>
        <w:rPr>
          <w:rFonts w:ascii="SimSun" w:hAnsi="SimSun"/>
        </w:rPr>
        <w:instrText>http://www.meiji.ac.jp/koho/campus_guide/suruga/6t5h7p000001h0z0-img/720_campus_suruga.gif"</w:instrText>
      </w:r>
      <w:r>
        <w:rPr>
          <w:rFonts w:ascii="SimSun" w:hAnsi="SimSun"/>
        </w:rPr>
        <w:fldChar w:fldCharType="separate"/>
      </w:r>
      <w:r>
        <w:rPr>
          <w:rFonts w:ascii="SimSun" w:hAnsi="SimSun"/>
        </w:rPr>
        <w:pict>
          <v:shape id="図の枠 4" o:spid="_x0000_i1026" type="#_x0000_t75" style="width:462pt;height:436.5pt">
            <v:imagedata r:id="rId11" r:href="rId12"/>
          </v:shape>
        </w:pict>
      </w:r>
      <w:r>
        <w:rPr>
          <w:rFonts w:ascii="SimSun" w:hAnsi="SimSun"/>
        </w:rPr>
        <w:fldChar w:fldCharType="end"/>
      </w:r>
    </w:p>
    <w:p w:rsidR="003765DB" w:rsidRDefault="003765DB">
      <w:pPr>
        <w:rPr>
          <w:rFonts w:ascii="SimSun" w:hAnsi="SimSun"/>
          <w:b/>
          <w:sz w:val="21"/>
        </w:rPr>
      </w:pPr>
    </w:p>
    <w:p w:rsidR="003765DB" w:rsidRDefault="00E048F4">
      <w:pPr>
        <w:rPr>
          <w:rFonts w:ascii="SimSun" w:hAnsi="SimSun"/>
          <w:sz w:val="21"/>
        </w:rPr>
      </w:pPr>
      <w:r>
        <w:rPr>
          <w:rFonts w:ascii="SimSun" w:hAnsi="SimSun"/>
          <w:b/>
          <w:sz w:val="21"/>
        </w:rPr>
        <w:t>【住所】</w:t>
      </w:r>
      <w:r>
        <w:rPr>
          <w:rFonts w:ascii="SimSun" w:hAnsi="SimSun"/>
          <w:sz w:val="21"/>
        </w:rPr>
        <w:br/>
      </w:r>
      <w:r>
        <w:rPr>
          <w:rFonts w:ascii="SimSun" w:hAnsi="SimSun"/>
          <w:sz w:val="21"/>
        </w:rPr>
        <w:t>〒</w:t>
      </w:r>
      <w:r>
        <w:rPr>
          <w:rFonts w:ascii="SimSun" w:hAnsi="SimSun"/>
          <w:sz w:val="21"/>
        </w:rPr>
        <w:t>101-8301</w:t>
      </w:r>
      <w:r>
        <w:rPr>
          <w:rFonts w:ascii="SimSun" w:hAnsi="SimSun"/>
          <w:sz w:val="21"/>
        </w:rPr>
        <w:t xml:space="preserve">　東京都千代田区神田駿河台</w:t>
      </w:r>
      <w:r>
        <w:rPr>
          <w:rFonts w:ascii="SimSun" w:hAnsi="SimSun"/>
          <w:sz w:val="21"/>
        </w:rPr>
        <w:t>1-1</w:t>
      </w:r>
    </w:p>
    <w:p w:rsidR="003765DB" w:rsidRDefault="00E048F4">
      <w:pPr>
        <w:rPr>
          <w:rFonts w:ascii="SimSun" w:hAnsi="SimSun"/>
          <w:sz w:val="21"/>
        </w:rPr>
      </w:pPr>
      <w:r>
        <w:rPr>
          <w:rFonts w:ascii="SimSun" w:hAnsi="SimSun"/>
          <w:b/>
          <w:sz w:val="21"/>
        </w:rPr>
        <w:t>【最寄駅からのアクセス】</w:t>
      </w:r>
      <w:r>
        <w:rPr>
          <w:rFonts w:ascii="SimSun" w:hAnsi="SimSun"/>
          <w:sz w:val="21"/>
        </w:rPr>
        <w:br/>
        <w:t>■JR</w:t>
      </w:r>
      <w:r>
        <w:rPr>
          <w:rFonts w:ascii="SimSun" w:hAnsi="SimSun"/>
          <w:sz w:val="21"/>
        </w:rPr>
        <w:t>中央線・総武線、東京メトロ丸ノ内線／御茶ノ水駅　下車徒歩約</w:t>
      </w:r>
      <w:r>
        <w:rPr>
          <w:rFonts w:ascii="SimSun" w:hAnsi="SimSun"/>
          <w:sz w:val="21"/>
        </w:rPr>
        <w:t>3</w:t>
      </w:r>
      <w:r>
        <w:rPr>
          <w:rFonts w:ascii="SimSun" w:hAnsi="SimSun"/>
          <w:sz w:val="21"/>
        </w:rPr>
        <w:t>分</w:t>
      </w:r>
      <w:r>
        <w:rPr>
          <w:rFonts w:ascii="SimSun" w:hAnsi="SimSun"/>
          <w:sz w:val="21"/>
        </w:rPr>
        <w:br/>
        <w:t>■</w:t>
      </w:r>
      <w:r>
        <w:rPr>
          <w:rFonts w:ascii="SimSun" w:hAnsi="SimSun"/>
          <w:sz w:val="21"/>
        </w:rPr>
        <w:t>東京メトロ千代田線／新御茶ノ水駅　下車徒歩約</w:t>
      </w:r>
      <w:r>
        <w:rPr>
          <w:rFonts w:ascii="SimSun" w:hAnsi="SimSun"/>
          <w:sz w:val="21"/>
        </w:rPr>
        <w:t>5</w:t>
      </w:r>
      <w:r>
        <w:rPr>
          <w:rFonts w:ascii="SimSun" w:hAnsi="SimSun"/>
          <w:sz w:val="21"/>
        </w:rPr>
        <w:t>分</w:t>
      </w:r>
      <w:r>
        <w:rPr>
          <w:rFonts w:ascii="SimSun" w:hAnsi="SimSun"/>
          <w:sz w:val="21"/>
        </w:rPr>
        <w:br/>
        <w:t>■</w:t>
      </w:r>
      <w:r>
        <w:rPr>
          <w:rFonts w:ascii="SimSun" w:hAnsi="SimSun"/>
          <w:sz w:val="21"/>
        </w:rPr>
        <w:t>都営地下鉄三田線・新宿線、東京メトロ半蔵門線／神保町駅　下車徒歩約</w:t>
      </w:r>
      <w:r>
        <w:rPr>
          <w:rFonts w:ascii="SimSun" w:hAnsi="SimSun"/>
          <w:sz w:val="21"/>
        </w:rPr>
        <w:t>5</w:t>
      </w:r>
      <w:r>
        <w:rPr>
          <w:rFonts w:ascii="SimSun" w:hAnsi="SimSun"/>
          <w:sz w:val="21"/>
        </w:rPr>
        <w:t>分</w:t>
      </w:r>
      <w:r>
        <w:rPr>
          <w:rFonts w:ascii="SimSun" w:hAnsi="SimSun"/>
          <w:sz w:val="21"/>
        </w:rPr>
        <w:t xml:space="preserve"> </w:t>
      </w:r>
    </w:p>
    <w:p w:rsidR="003765DB" w:rsidRDefault="00E048F4">
      <w:pPr>
        <w:rPr>
          <w:rFonts w:ascii="SimSun" w:hAnsi="SimSun"/>
          <w:sz w:val="21"/>
        </w:rPr>
      </w:pPr>
      <w:r>
        <w:rPr>
          <w:rFonts w:ascii="SimSun" w:hAnsi="SimSun"/>
          <w:sz w:val="21"/>
        </w:rPr>
        <w:br w:type="page"/>
      </w:r>
    </w:p>
    <w:p w:rsidR="003765DB" w:rsidRDefault="00E048F4">
      <w:pPr>
        <w:rPr>
          <w:rFonts w:ascii="ＭＳ 明朝" w:hAnsi="ＭＳ 明朝"/>
          <w:color w:val="000000"/>
          <w:szCs w:val="22"/>
        </w:rPr>
      </w:pPr>
      <w:r>
        <w:rPr>
          <w:rFonts w:ascii="ＭＳ 明朝" w:hAnsi="ＭＳ 明朝" w:hint="eastAsia"/>
          <w:color w:val="000000"/>
          <w:szCs w:val="22"/>
          <w:u w:val="single"/>
        </w:rPr>
        <w:t>プログラム</w:t>
      </w:r>
    </w:p>
    <w:p w:rsidR="003765DB" w:rsidRDefault="00E048F4">
      <w:pPr>
        <w:rPr>
          <w:rFonts w:ascii="ＭＳ ゴシック" w:hAnsi="ＭＳ ゴシック"/>
          <w:color w:val="000000"/>
          <w:sz w:val="21"/>
          <w:szCs w:val="22"/>
        </w:rPr>
      </w:pPr>
      <w:r>
        <w:rPr>
          <w:rFonts w:ascii="ＭＳ 明朝" w:hAnsi="ＭＳ 明朝" w:hint="eastAsia"/>
          <w:color w:val="000000"/>
          <w:sz w:val="21"/>
          <w:szCs w:val="22"/>
        </w:rPr>
        <w:t>10:00-10</w:t>
      </w:r>
      <w:r>
        <w:rPr>
          <w:rFonts w:ascii="ＭＳ 明朝" w:hAnsi="ＭＳ 明朝" w:hint="eastAsia"/>
          <w:color w:val="000000"/>
          <w:sz w:val="21"/>
          <w:szCs w:val="22"/>
        </w:rPr>
        <w:t>:15</w:t>
      </w:r>
      <w:r>
        <w:rPr>
          <w:rFonts w:ascii="ＭＳ ゴシック" w:hAnsi="ＭＳ ゴシック" w:hint="eastAsia"/>
          <w:color w:val="000000"/>
          <w:sz w:val="21"/>
          <w:szCs w:val="22"/>
        </w:rPr>
        <w:t xml:space="preserve">　　趣旨説明　　　　　　　　　　　　　</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田口正樹（北海道大学教授）</w:t>
      </w:r>
    </w:p>
    <w:p w:rsidR="003765DB" w:rsidRDefault="00E048F4">
      <w:pPr>
        <w:rPr>
          <w:rFonts w:ascii="ＭＳ ゴシック" w:eastAsia="ＭＳ ゴシック" w:hAnsi="ＭＳ ゴシック"/>
          <w:color w:val="000000"/>
          <w:sz w:val="21"/>
          <w:szCs w:val="22"/>
        </w:rPr>
      </w:pPr>
      <w:r>
        <w:rPr>
          <w:rFonts w:ascii="ＭＳ 明朝" w:hAnsi="ＭＳ 明朝" w:hint="eastAsia"/>
          <w:color w:val="000000"/>
          <w:sz w:val="21"/>
          <w:szCs w:val="22"/>
        </w:rPr>
        <w:t>10:15-11:45</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第１部：法図像学</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「法図像学</w:t>
      </w:r>
      <w:r>
        <w:rPr>
          <w:rFonts w:hint="eastAsia"/>
          <w:color w:val="000000"/>
          <w:kern w:val="0"/>
          <w:sz w:val="21"/>
          <w:szCs w:val="21"/>
          <w:shd w:val="clear" w:color="auto" w:fill="FFFFFF"/>
        </w:rPr>
        <w:t>──</w:t>
      </w:r>
      <w:r>
        <w:rPr>
          <w:rFonts w:ascii="ＭＳ 明朝" w:hAnsi="ＭＳ 明朝" w:hint="eastAsia"/>
          <w:color w:val="000000"/>
          <w:sz w:val="21"/>
          <w:szCs w:val="22"/>
        </w:rPr>
        <w:t>法の文化的・歴史的・社会的省察」</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ascii="ＭＳ 明朝" w:hAnsi="ＭＳ 明朝" w:hint="eastAsia"/>
          <w:color w:val="000000"/>
          <w:sz w:val="21"/>
          <w:szCs w:val="22"/>
        </w:rPr>
        <w:t>江玉林</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ascii="ＭＳ 明朝" w:hAnsi="ＭＳ 明朝" w:hint="eastAsia"/>
          <w:color w:val="000000"/>
          <w:sz w:val="21"/>
          <w:szCs w:val="22"/>
        </w:rPr>
        <w:t>台湾・国立政治大学教授）</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コメント（美術史から）　　　　　　　　　　五十殿利治（筑波大学教授）</w:t>
      </w:r>
    </w:p>
    <w:p w:rsidR="003765DB" w:rsidRDefault="00E048F4">
      <w:pPr>
        <w:rPr>
          <w:rFonts w:ascii="ＭＳ 明朝" w:hAnsi="ＭＳ 明朝"/>
          <w:color w:val="000000"/>
          <w:sz w:val="21"/>
          <w:szCs w:val="22"/>
        </w:rPr>
      </w:pPr>
      <w:r>
        <w:rPr>
          <w:rFonts w:ascii="ＭＳ 明朝" w:hAnsi="ＭＳ 明朝" w:hint="eastAsia"/>
          <w:color w:val="000000"/>
          <w:sz w:val="21"/>
          <w:szCs w:val="22"/>
        </w:rPr>
        <w:t>11:45-13:00</w:t>
      </w:r>
      <w:r>
        <w:rPr>
          <w:rFonts w:ascii="ＭＳ 明朝" w:hAnsi="ＭＳ 明朝" w:hint="eastAsia"/>
          <w:color w:val="000000"/>
          <w:sz w:val="21"/>
          <w:szCs w:val="22"/>
        </w:rPr>
        <w:t xml:space="preserve">　　昼食休憩</w:t>
      </w:r>
    </w:p>
    <w:p w:rsidR="003765DB" w:rsidRDefault="00E048F4">
      <w:pPr>
        <w:rPr>
          <w:rFonts w:ascii="ＭＳ ゴシック" w:eastAsia="ＭＳ ゴシック" w:hAnsi="ＭＳ ゴシック"/>
          <w:color w:val="000000"/>
          <w:sz w:val="21"/>
          <w:szCs w:val="22"/>
        </w:rPr>
      </w:pPr>
      <w:r>
        <w:rPr>
          <w:rFonts w:ascii="ＭＳ 明朝" w:hAnsi="ＭＳ 明朝" w:hint="eastAsia"/>
          <w:color w:val="000000"/>
          <w:sz w:val="21"/>
          <w:szCs w:val="22"/>
        </w:rPr>
        <w:t>13:00-14:30</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第２部：法と文学</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「近松門左衛門『博多小女郎波枕』と抜荷</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hint="eastAsia"/>
          <w:color w:val="000000"/>
          <w:kern w:val="0"/>
          <w:sz w:val="21"/>
          <w:szCs w:val="21"/>
          <w:shd w:val="clear" w:color="auto" w:fill="FFFFFF"/>
        </w:rPr>
        <w:t>──</w:t>
      </w:r>
      <w:r>
        <w:rPr>
          <w:rFonts w:ascii="ＭＳ 明朝" w:hAnsi="ＭＳ 明朝" w:hint="eastAsia"/>
          <w:color w:val="000000"/>
          <w:sz w:val="21"/>
          <w:szCs w:val="22"/>
        </w:rPr>
        <w:t>法制史における文学史料の意義」</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ascii="ＭＳ 明朝" w:hAnsi="ＭＳ 明朝" w:hint="eastAsia"/>
          <w:color w:val="000000"/>
          <w:sz w:val="21"/>
          <w:szCs w:val="22"/>
        </w:rPr>
        <w:t>桑原朝子（北海道大学教授）</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ascii="ＭＳ 明朝" w:hAnsi="ＭＳ 明朝" w:hint="eastAsia"/>
          <w:color w:val="000000"/>
          <w:sz w:val="21"/>
          <w:szCs w:val="22"/>
        </w:rPr>
        <w:t>コメント</w:t>
      </w:r>
      <w:r>
        <w:rPr>
          <w:rFonts w:ascii="ＭＳ 明朝" w:hAnsi="ＭＳ 明朝" w:hint="eastAsia"/>
          <w:color w:val="000000"/>
          <w:sz w:val="21"/>
          <w:szCs w:val="22"/>
        </w:rPr>
        <w:t>（日本文学から）　　　　　　　　黒石陽子（東京学芸大学教授）</w:t>
      </w:r>
    </w:p>
    <w:p w:rsidR="003765DB" w:rsidRDefault="00E048F4">
      <w:pPr>
        <w:rPr>
          <w:rFonts w:ascii="ＭＳ 明朝" w:hAnsi="ＭＳ 明朝"/>
          <w:color w:val="000000"/>
          <w:sz w:val="21"/>
          <w:szCs w:val="22"/>
        </w:rPr>
      </w:pPr>
      <w:r>
        <w:rPr>
          <w:rFonts w:ascii="ＭＳ 明朝" w:hAnsi="ＭＳ 明朝" w:hint="eastAsia"/>
          <w:color w:val="000000"/>
          <w:sz w:val="21"/>
          <w:szCs w:val="22"/>
        </w:rPr>
        <w:t>14:30-15:00</w:t>
      </w:r>
      <w:r>
        <w:rPr>
          <w:rFonts w:ascii="ＭＳ 明朝" w:hAnsi="ＭＳ 明朝" w:hint="eastAsia"/>
          <w:color w:val="000000"/>
          <w:sz w:val="21"/>
          <w:szCs w:val="22"/>
        </w:rPr>
        <w:t xml:space="preserve">　　休憩</w:t>
      </w:r>
    </w:p>
    <w:p w:rsidR="003765DB" w:rsidRDefault="00E048F4">
      <w:pPr>
        <w:rPr>
          <w:rFonts w:ascii="ＭＳ ゴシック" w:hAnsi="ＭＳ ゴシック"/>
          <w:color w:val="000000"/>
          <w:sz w:val="21"/>
          <w:szCs w:val="22"/>
        </w:rPr>
      </w:pPr>
      <w:r>
        <w:rPr>
          <w:rFonts w:ascii="ＭＳ 明朝" w:hAnsi="ＭＳ 明朝" w:hint="eastAsia"/>
          <w:color w:val="000000"/>
          <w:sz w:val="21"/>
          <w:szCs w:val="22"/>
        </w:rPr>
        <w:t>15:00-16:30</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第３部：グローバル</w:t>
      </w:r>
      <w:r>
        <w:rPr>
          <w:rFonts w:ascii="ＭＳ ゴシック" w:hAnsi="ＭＳ ゴシック" w:hint="eastAsia"/>
          <w:color w:val="000000"/>
          <w:sz w:val="21"/>
          <w:szCs w:val="22"/>
        </w:rPr>
        <w:t>・</w:t>
      </w:r>
      <w:r>
        <w:rPr>
          <w:rFonts w:ascii="ＭＳ ゴシック" w:hAnsi="ＭＳ ゴシック" w:hint="eastAsia"/>
          <w:color w:val="000000"/>
          <w:sz w:val="21"/>
          <w:szCs w:val="22"/>
        </w:rPr>
        <w:t>リーガル・</w:t>
      </w:r>
      <w:r>
        <w:rPr>
          <w:rFonts w:ascii="ＭＳ ゴシック" w:hAnsi="ＭＳ ゴシック" w:hint="eastAsia"/>
          <w:color w:val="000000"/>
          <w:sz w:val="21"/>
          <w:szCs w:val="22"/>
        </w:rPr>
        <w:t>ヒストリー</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「継受研究と法史の理解</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hint="eastAsia"/>
          <w:color w:val="000000"/>
          <w:kern w:val="0"/>
          <w:sz w:val="21"/>
          <w:szCs w:val="21"/>
          <w:shd w:val="clear" w:color="auto" w:fill="FFFFFF"/>
        </w:rPr>
        <w:t>──</w:t>
      </w:r>
      <w:r>
        <w:rPr>
          <w:rFonts w:ascii="ＭＳ 明朝" w:hAnsi="ＭＳ 明朝" w:hint="eastAsia"/>
          <w:color w:val="000000"/>
          <w:sz w:val="21"/>
          <w:szCs w:val="22"/>
        </w:rPr>
        <w:t>ロシアの視点から見たローマ・西欧法学の</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認識についての諸経験」</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マルティン・アヴェナリウス</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（ドイツ・ケルン大学教授）</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w:t>
      </w:r>
      <w:r>
        <w:rPr>
          <w:rFonts w:ascii="ＭＳ 明朝" w:hAnsi="ＭＳ 明朝" w:hint="eastAsia"/>
          <w:color w:val="000000"/>
          <w:sz w:val="21"/>
          <w:szCs w:val="22"/>
        </w:rPr>
        <w:t>コメント</w:t>
      </w:r>
      <w:r>
        <w:rPr>
          <w:rFonts w:ascii="ＭＳ 明朝" w:hAnsi="ＭＳ 明朝" w:hint="eastAsia"/>
          <w:color w:val="000000"/>
          <w:sz w:val="21"/>
          <w:szCs w:val="22"/>
        </w:rPr>
        <w:t>（グローバル・ヒストリーから）　平田雅博（青山学院大学教授）</w:t>
      </w:r>
    </w:p>
    <w:p w:rsidR="003765DB" w:rsidRDefault="00E048F4">
      <w:pPr>
        <w:rPr>
          <w:rFonts w:ascii="ＭＳ ゴシック" w:hAnsi="ＭＳ ゴシック"/>
          <w:color w:val="000000"/>
          <w:sz w:val="21"/>
          <w:szCs w:val="22"/>
        </w:rPr>
      </w:pPr>
      <w:r>
        <w:rPr>
          <w:rFonts w:ascii="ＭＳ 明朝" w:hAnsi="ＭＳ 明朝" w:hint="eastAsia"/>
          <w:color w:val="000000"/>
          <w:sz w:val="21"/>
          <w:szCs w:val="22"/>
        </w:rPr>
        <w:t>16:30-17:30</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第４部：総合討論とまとめ</w:t>
      </w:r>
    </w:p>
    <w:p w:rsidR="003765DB" w:rsidRDefault="003765DB">
      <w:pPr>
        <w:rPr>
          <w:rFonts w:ascii="ＭＳ ゴシック" w:hAnsi="ＭＳ ゴシック"/>
          <w:color w:val="000000"/>
          <w:sz w:val="21"/>
          <w:szCs w:val="22"/>
        </w:rPr>
      </w:pPr>
    </w:p>
    <w:p w:rsidR="003765DB" w:rsidRDefault="00E048F4">
      <w:pPr>
        <w:rPr>
          <w:rFonts w:ascii="ＭＳ ゴシック" w:hAnsi="ＭＳ ゴシック"/>
          <w:color w:val="000000"/>
          <w:sz w:val="21"/>
          <w:szCs w:val="22"/>
        </w:rPr>
      </w:pPr>
      <w:r>
        <w:rPr>
          <w:rFonts w:ascii="ＭＳ 明朝" w:hAnsi="ＭＳ 明朝" w:hint="eastAsia"/>
          <w:color w:val="000000"/>
          <w:sz w:val="21"/>
          <w:szCs w:val="22"/>
        </w:rPr>
        <w:t>18:00-20:00</w:t>
      </w:r>
      <w:r>
        <w:rPr>
          <w:rFonts w:ascii="ＭＳ ゴシック" w:hAnsi="ＭＳ ゴシック" w:hint="eastAsia"/>
          <w:color w:val="000000"/>
          <w:sz w:val="21"/>
          <w:szCs w:val="22"/>
        </w:rPr>
        <w:t xml:space="preserve">　　</w:t>
      </w:r>
      <w:r>
        <w:rPr>
          <w:rFonts w:ascii="ＭＳ ゴシック" w:hAnsi="ＭＳ ゴシック" w:hint="eastAsia"/>
          <w:color w:val="000000"/>
          <w:sz w:val="21"/>
          <w:szCs w:val="22"/>
        </w:rPr>
        <w:t>懇親会</w:t>
      </w:r>
      <w:r>
        <w:rPr>
          <w:rFonts w:ascii="ＭＳ ゴシック" w:hAnsi="ＭＳ ゴシック" w:hint="eastAsia"/>
          <w:b/>
          <w:color w:val="000000"/>
          <w:sz w:val="21"/>
          <w:szCs w:val="22"/>
        </w:rPr>
        <w:t xml:space="preserve">　</w:t>
      </w:r>
      <w:r>
        <w:rPr>
          <w:rFonts w:ascii="ＭＳ ゴシック" w:hAnsi="ＭＳ ゴシック" w:hint="eastAsia"/>
          <w:color w:val="000000"/>
          <w:sz w:val="21"/>
          <w:szCs w:val="22"/>
        </w:rPr>
        <w:t xml:space="preserve">　明治大学駿河台キャンパス大学会館・３階第１会議室</w:t>
      </w:r>
    </w:p>
    <w:p w:rsidR="003765DB" w:rsidRDefault="003765DB">
      <w:pPr>
        <w:rPr>
          <w:rFonts w:ascii="ＭＳ ゴシック" w:hAnsi="ＭＳ ゴシック"/>
          <w:color w:val="000000"/>
          <w:sz w:val="21"/>
          <w:szCs w:val="22"/>
        </w:rPr>
      </w:pPr>
    </w:p>
    <w:p w:rsidR="003765DB" w:rsidRDefault="00E048F4">
      <w:pPr>
        <w:rPr>
          <w:rFonts w:ascii="ＭＳ ゴシック" w:hAnsi="ＭＳ ゴシック"/>
          <w:color w:val="000000"/>
          <w:sz w:val="21"/>
          <w:szCs w:val="22"/>
        </w:rPr>
      </w:pPr>
      <w:r>
        <w:rPr>
          <w:rFonts w:ascii="ＭＳ ゴシック" w:hAnsi="ＭＳ ゴシック" w:hint="eastAsia"/>
          <w:color w:val="000000"/>
          <w:sz w:val="21"/>
          <w:szCs w:val="22"/>
        </w:rPr>
        <w:t>・昼食は大学近辺にて各自でお摂りいただけますようお願いします。</w:t>
      </w:r>
    </w:p>
    <w:p w:rsidR="003765DB" w:rsidRDefault="00E048F4">
      <w:pPr>
        <w:rPr>
          <w:rFonts w:ascii="ＭＳ ゴシック" w:hAnsi="ＭＳ ゴシック"/>
          <w:color w:val="000000"/>
          <w:sz w:val="21"/>
          <w:szCs w:val="22"/>
        </w:rPr>
      </w:pPr>
      <w:r>
        <w:rPr>
          <w:rFonts w:ascii="ＭＳ ゴシック" w:hAnsi="ＭＳ ゴシック" w:hint="eastAsia"/>
          <w:color w:val="000000"/>
          <w:sz w:val="21"/>
          <w:szCs w:val="22"/>
        </w:rPr>
        <w:t>・シンポジウム参加の申込は不要ですが、懇親会に参加ご希望の方は事前に以下の問い合わせ先までご一報下さい。</w:t>
      </w:r>
    </w:p>
    <w:p w:rsidR="003765DB" w:rsidRDefault="00E048F4">
      <w:pPr>
        <w:rPr>
          <w:rFonts w:ascii="ＭＳ ゴシック" w:hAnsi="ＭＳ ゴシック"/>
          <w:color w:val="000000"/>
          <w:sz w:val="21"/>
          <w:szCs w:val="22"/>
        </w:rPr>
      </w:pPr>
      <w:r>
        <w:rPr>
          <w:rFonts w:ascii="ＭＳ ゴシック" w:hAnsi="ＭＳ ゴシック" w:hint="eastAsia"/>
          <w:color w:val="000000"/>
          <w:sz w:val="21"/>
          <w:szCs w:val="22"/>
        </w:rPr>
        <w:t>・問い合わせ先：</w:t>
      </w:r>
      <w:r>
        <w:rPr>
          <w:rFonts w:ascii="ＭＳ 明朝" w:hAnsi="ＭＳ 明朝" w:hint="eastAsia"/>
          <w:color w:val="000000"/>
          <w:sz w:val="21"/>
          <w:szCs w:val="22"/>
        </w:rPr>
        <w:t>〒</w:t>
      </w:r>
      <w:r>
        <w:rPr>
          <w:rFonts w:ascii="ＭＳ 明朝" w:hAnsi="ＭＳ 明朝" w:hint="eastAsia"/>
          <w:color w:val="000000"/>
          <w:sz w:val="21"/>
          <w:szCs w:val="22"/>
        </w:rPr>
        <w:t>060-0809</w:t>
      </w:r>
      <w:r>
        <w:rPr>
          <w:rFonts w:ascii="ＭＳ ゴシック" w:hAnsi="ＭＳ ゴシック" w:hint="eastAsia"/>
          <w:color w:val="000000"/>
          <w:sz w:val="21"/>
          <w:szCs w:val="22"/>
        </w:rPr>
        <w:t xml:space="preserve">　札幌市北区北９条西７丁目　北海道大学法学研究科</w:t>
      </w:r>
    </w:p>
    <w:p w:rsidR="003765DB" w:rsidRDefault="00E048F4">
      <w:pPr>
        <w:rPr>
          <w:rFonts w:ascii="ＭＳ ゴシック" w:hAnsi="ＭＳ ゴシック"/>
          <w:color w:val="000000"/>
          <w:sz w:val="21"/>
          <w:szCs w:val="22"/>
        </w:rPr>
      </w:pPr>
      <w:r>
        <w:rPr>
          <w:rFonts w:ascii="ＭＳ ゴシック" w:hAnsi="ＭＳ ゴシック" w:hint="eastAsia"/>
          <w:color w:val="000000"/>
          <w:sz w:val="21"/>
          <w:szCs w:val="22"/>
        </w:rPr>
        <w:t xml:space="preserve">　　　　　　　　田口　正樹</w:t>
      </w:r>
    </w:p>
    <w:p w:rsidR="003765DB" w:rsidRDefault="00E048F4">
      <w:pPr>
        <w:rPr>
          <w:rFonts w:ascii="ＭＳ 明朝" w:hAnsi="ＭＳ 明朝"/>
          <w:color w:val="000000"/>
          <w:sz w:val="21"/>
          <w:szCs w:val="22"/>
        </w:rPr>
      </w:pPr>
      <w:r>
        <w:rPr>
          <w:rFonts w:ascii="ＭＳ ゴシック" w:hAnsi="ＭＳ ゴシック" w:hint="eastAsia"/>
          <w:color w:val="000000"/>
          <w:sz w:val="21"/>
          <w:szCs w:val="22"/>
        </w:rPr>
        <w:t xml:space="preserve">　　　　　　　　</w:t>
      </w:r>
      <w:r>
        <w:rPr>
          <w:rFonts w:ascii="ＭＳ 明朝" w:hAnsi="ＭＳ 明朝" w:hint="eastAsia"/>
          <w:color w:val="000000"/>
          <w:sz w:val="21"/>
          <w:szCs w:val="22"/>
        </w:rPr>
        <w:t>Phone</w:t>
      </w:r>
      <w:r>
        <w:rPr>
          <w:rFonts w:ascii="ＭＳ ゴシック" w:hAnsi="ＭＳ ゴシック" w:hint="eastAsia"/>
          <w:color w:val="000000"/>
          <w:sz w:val="21"/>
          <w:szCs w:val="22"/>
        </w:rPr>
        <w:t xml:space="preserve">: </w:t>
      </w:r>
      <w:r>
        <w:rPr>
          <w:rFonts w:ascii="ＭＳ 明朝" w:hAnsi="ＭＳ 明朝" w:hint="eastAsia"/>
          <w:color w:val="000000"/>
          <w:sz w:val="21"/>
          <w:szCs w:val="22"/>
        </w:rPr>
        <w:t>011-706-3138</w:t>
      </w:r>
      <w:r>
        <w:rPr>
          <w:rFonts w:ascii="ＭＳ 明朝" w:hAnsi="ＭＳ 明朝" w:hint="eastAsia"/>
          <w:color w:val="000000"/>
          <w:sz w:val="21"/>
          <w:szCs w:val="22"/>
        </w:rPr>
        <w:t>（研究室直通）</w:t>
      </w:r>
      <w:r>
        <w:rPr>
          <w:rFonts w:ascii="ＭＳ 明朝" w:hAnsi="ＭＳ 明朝" w:hint="eastAsia"/>
          <w:color w:val="000000"/>
          <w:sz w:val="21"/>
          <w:szCs w:val="22"/>
        </w:rPr>
        <w:t xml:space="preserve">   Fax: 011-706-4948</w:t>
      </w:r>
    </w:p>
    <w:p w:rsidR="003765DB" w:rsidRDefault="00E048F4">
      <w:pPr>
        <w:rPr>
          <w:rFonts w:ascii="ＭＳ 明朝" w:hAnsi="ＭＳ 明朝"/>
          <w:color w:val="000000"/>
          <w:sz w:val="21"/>
          <w:szCs w:val="22"/>
        </w:rPr>
      </w:pPr>
      <w:r>
        <w:rPr>
          <w:rFonts w:ascii="ＭＳ 明朝" w:hAnsi="ＭＳ 明朝" w:hint="eastAsia"/>
          <w:color w:val="000000"/>
          <w:sz w:val="21"/>
          <w:szCs w:val="22"/>
        </w:rPr>
        <w:t xml:space="preserve">                E-Mail: mtaguchi@juris.hokudai.ac.jp</w:t>
      </w: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p w:rsidR="003765DB" w:rsidRDefault="00E048F4">
      <w:pPr>
        <w:rPr>
          <w:rFonts w:ascii="ＭＳ ゴシック" w:hAnsi="ＭＳ ゴシック"/>
          <w:color w:val="000000"/>
          <w:sz w:val="21"/>
          <w:szCs w:val="22"/>
          <w:u w:val="single"/>
        </w:rPr>
      </w:pPr>
      <w:r>
        <w:rPr>
          <w:rFonts w:ascii="ＭＳ ゴシック" w:hAnsi="ＭＳ ゴシック" w:hint="eastAsia"/>
          <w:color w:val="000000"/>
          <w:szCs w:val="22"/>
          <w:u w:val="single"/>
        </w:rPr>
        <w:t>報告要旨</w:t>
      </w:r>
    </w:p>
    <w:p w:rsidR="003765DB" w:rsidRDefault="003765DB">
      <w:pPr>
        <w:rPr>
          <w:rFonts w:ascii="ＭＳ ゴシック" w:hAnsi="ＭＳ ゴシック"/>
          <w:color w:val="000000"/>
          <w:sz w:val="21"/>
          <w:szCs w:val="22"/>
        </w:rPr>
      </w:pPr>
    </w:p>
    <w:p w:rsidR="003765DB" w:rsidRDefault="00E048F4">
      <w:r>
        <w:rPr>
          <w:rFonts w:hint="eastAsia"/>
        </w:rPr>
        <w:t>法</w:t>
      </w:r>
      <w:r>
        <w:rPr>
          <w:rFonts w:hint="eastAsia"/>
        </w:rPr>
        <w:t>図像学</w:t>
      </w:r>
      <w:r>
        <w:rPr>
          <w:rFonts w:hint="eastAsia"/>
          <w:color w:val="000000"/>
          <w:kern w:val="0"/>
          <w:szCs w:val="21"/>
          <w:shd w:val="clear" w:color="auto" w:fill="FFFFFF"/>
        </w:rPr>
        <w:t>──</w:t>
      </w:r>
      <w:r>
        <w:rPr>
          <w:rFonts w:hint="eastAsia"/>
        </w:rPr>
        <w:t>法の文化</w:t>
      </w:r>
      <w:r>
        <w:rPr>
          <w:rFonts w:hint="eastAsia"/>
        </w:rPr>
        <w:t>的</w:t>
      </w:r>
      <w:r>
        <w:rPr>
          <w:rFonts w:hint="eastAsia"/>
        </w:rPr>
        <w:t>・社会</w:t>
      </w:r>
      <w:r>
        <w:rPr>
          <w:rFonts w:hint="eastAsia"/>
        </w:rPr>
        <w:t>的</w:t>
      </w:r>
      <w:r>
        <w:rPr>
          <w:rFonts w:hint="eastAsia"/>
        </w:rPr>
        <w:t>・歴史的</w:t>
      </w:r>
      <w:r>
        <w:rPr>
          <w:rFonts w:hint="eastAsia"/>
        </w:rPr>
        <w:t>省察</w:t>
      </w:r>
    </w:p>
    <w:p w:rsidR="003765DB" w:rsidRDefault="003765DB"/>
    <w:p w:rsidR="003765DB" w:rsidRDefault="00E048F4">
      <w:pPr>
        <w:jc w:val="center"/>
      </w:pPr>
      <w:r>
        <w:rPr>
          <w:rFonts w:hint="eastAsia"/>
        </w:rPr>
        <w:t xml:space="preserve">　　　　　　　　　　　　　　　　　　　　　</w:t>
      </w:r>
      <w:r>
        <w:rPr>
          <w:rFonts w:hint="eastAsia"/>
        </w:rPr>
        <w:t>江</w:t>
      </w:r>
      <w:r>
        <w:rPr>
          <w:rFonts w:hint="eastAsia"/>
        </w:rPr>
        <w:t xml:space="preserve">　</w:t>
      </w:r>
      <w:r>
        <w:rPr>
          <w:rFonts w:hint="eastAsia"/>
        </w:rPr>
        <w:t>玉林</w:t>
      </w:r>
      <w:r>
        <w:rPr>
          <w:rFonts w:hint="eastAsia"/>
        </w:rPr>
        <w:t>（</w:t>
      </w:r>
      <w:r>
        <w:rPr>
          <w:rFonts w:hint="eastAsia"/>
          <w:sz w:val="21"/>
        </w:rPr>
        <w:t>台湾・国立政治大学教授</w:t>
      </w:r>
      <w:r>
        <w:rPr>
          <w:rFonts w:hint="eastAsia"/>
        </w:rPr>
        <w:t>）</w:t>
      </w:r>
    </w:p>
    <w:p w:rsidR="003765DB" w:rsidRDefault="003765DB"/>
    <w:p w:rsidR="003765DB" w:rsidRDefault="00E048F4">
      <w:pPr>
        <w:rPr>
          <w:sz w:val="21"/>
        </w:rPr>
      </w:pPr>
      <w:r>
        <w:rPr>
          <w:rFonts w:hint="eastAsia"/>
        </w:rPr>
        <w:t xml:space="preserve">　</w:t>
      </w:r>
      <w:r>
        <w:rPr>
          <w:rFonts w:hint="eastAsia"/>
          <w:sz w:val="21"/>
        </w:rPr>
        <w:t>法</w:t>
      </w:r>
      <w:r>
        <w:rPr>
          <w:rFonts w:hint="eastAsia"/>
          <w:sz w:val="21"/>
        </w:rPr>
        <w:t>図像学</w:t>
      </w:r>
      <w:r>
        <w:rPr>
          <w:rFonts w:hint="eastAsia"/>
          <w:sz w:val="21"/>
        </w:rPr>
        <w:t>とは、単に法と絵画の相互作用だけに注目した解釈学ではない。それは、絵画を媒介として、文化的に埋め込まれた法現象のルーツを探り、法と文化における相互作用の暗号を解くことを目的としている。したがって、法</w:t>
      </w:r>
      <w:r>
        <w:rPr>
          <w:rFonts w:hint="eastAsia"/>
          <w:sz w:val="21"/>
        </w:rPr>
        <w:t>図像学</w:t>
      </w:r>
      <w:r>
        <w:rPr>
          <w:rFonts w:hint="eastAsia"/>
          <w:sz w:val="21"/>
        </w:rPr>
        <w:t>は、絵画をめぐる法理学であるとともに、法の考古学でもある。その意味において絵画は、法的経験および法意識の蓄積を具体的に表現する考古資料とみなしうる。絵画のなかに描かれ残されている、物、輪郭、思想、構造、配置などから</w:t>
      </w:r>
      <w:r>
        <w:rPr>
          <w:rFonts w:hint="eastAsia"/>
          <w:sz w:val="21"/>
        </w:rPr>
        <w:t>、</w:t>
      </w:r>
      <w:r>
        <w:rPr>
          <w:rFonts w:hint="eastAsia"/>
          <w:sz w:val="21"/>
        </w:rPr>
        <w:t>われわれにもたらされた文化的影響について考察し確定したい。</w:t>
      </w:r>
    </w:p>
    <w:p w:rsidR="003765DB" w:rsidRDefault="00E048F4">
      <w:pPr>
        <w:rPr>
          <w:sz w:val="21"/>
        </w:rPr>
      </w:pPr>
      <w:r>
        <w:rPr>
          <w:rFonts w:hint="eastAsia"/>
          <w:sz w:val="21"/>
        </w:rPr>
        <w:t xml:space="preserve">　本</w:t>
      </w:r>
      <w:r>
        <w:rPr>
          <w:rFonts w:hint="eastAsia"/>
          <w:sz w:val="21"/>
        </w:rPr>
        <w:t>報告</w:t>
      </w:r>
      <w:r>
        <w:rPr>
          <w:rFonts w:hint="eastAsia"/>
          <w:sz w:val="21"/>
        </w:rPr>
        <w:t>は、台湾の画家である陳澄波（</w:t>
      </w:r>
      <w:r>
        <w:rPr>
          <w:rFonts w:hint="eastAsia"/>
          <w:sz w:val="21"/>
        </w:rPr>
        <w:t>1895</w:t>
      </w:r>
      <w:r>
        <w:rPr>
          <w:rFonts w:hint="eastAsia"/>
          <w:sz w:val="21"/>
        </w:rPr>
        <w:t>－</w:t>
      </w:r>
      <w:r>
        <w:rPr>
          <w:rFonts w:hint="eastAsia"/>
          <w:sz w:val="21"/>
        </w:rPr>
        <w:t>1947</w:t>
      </w:r>
      <w:r>
        <w:rPr>
          <w:rFonts w:hint="eastAsia"/>
          <w:sz w:val="21"/>
        </w:rPr>
        <w:t>）の「送役図」（出征兵士を送る絵、</w:t>
      </w:r>
      <w:r>
        <w:rPr>
          <w:rFonts w:hint="eastAsia"/>
          <w:sz w:val="21"/>
        </w:rPr>
        <w:t>1944</w:t>
      </w:r>
      <w:r>
        <w:rPr>
          <w:rFonts w:hint="eastAsia"/>
          <w:sz w:val="21"/>
        </w:rPr>
        <w:t>）と「慶祝日」（お祝いの日、</w:t>
      </w:r>
      <w:r>
        <w:rPr>
          <w:rFonts w:hint="eastAsia"/>
          <w:sz w:val="21"/>
        </w:rPr>
        <w:t>1946</w:t>
      </w:r>
      <w:r>
        <w:rPr>
          <w:rFonts w:hint="eastAsia"/>
          <w:sz w:val="21"/>
        </w:rPr>
        <w:t>）という２つの作品を中心に、日本の植民地</w:t>
      </w:r>
      <w:r>
        <w:rPr>
          <w:rFonts w:hint="eastAsia"/>
          <w:sz w:val="21"/>
        </w:rPr>
        <w:t>統治</w:t>
      </w:r>
      <w:r>
        <w:rPr>
          <w:rFonts w:hint="eastAsia"/>
          <w:sz w:val="21"/>
        </w:rPr>
        <w:t>から中華民国による</w:t>
      </w:r>
      <w:r>
        <w:rPr>
          <w:rFonts w:hint="eastAsia"/>
          <w:sz w:val="21"/>
        </w:rPr>
        <w:t>統治への変転</w:t>
      </w:r>
      <w:r>
        <w:rPr>
          <w:rFonts w:hint="eastAsia"/>
          <w:sz w:val="21"/>
        </w:rPr>
        <w:t>を遂げた歴史的経験のもとで、台湾人が文化的アイデンティティを獲得することの難しさを論ずる。これを通じて、一方では台湾人が植民地／反植民地、支配／被支配という二元構造の下で遭遇した政治的・法的問題を</w:t>
      </w:r>
      <w:r>
        <w:rPr>
          <w:rFonts w:hint="eastAsia"/>
          <w:sz w:val="21"/>
        </w:rPr>
        <w:t>省察</w:t>
      </w:r>
      <w:r>
        <w:rPr>
          <w:rFonts w:hint="eastAsia"/>
          <w:sz w:val="21"/>
        </w:rPr>
        <w:t>し、他方では台湾の歴史、文化、社会および法律と</w:t>
      </w:r>
      <w:r>
        <w:rPr>
          <w:rFonts w:hint="eastAsia"/>
          <w:sz w:val="21"/>
        </w:rPr>
        <w:t>いう諸要素の間に生ずる相互作用を理解するのに役立てたいと思っている。</w:t>
      </w: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p w:rsidR="003765DB" w:rsidRDefault="00E048F4">
      <w:pPr>
        <w:rPr>
          <w:color w:val="000000"/>
          <w:kern w:val="0"/>
          <w:szCs w:val="21"/>
          <w:shd w:val="clear" w:color="auto" w:fill="FFFFFF"/>
        </w:rPr>
      </w:pPr>
      <w:r>
        <w:rPr>
          <w:color w:val="000000"/>
          <w:kern w:val="0"/>
          <w:szCs w:val="21"/>
          <w:shd w:val="clear" w:color="auto" w:fill="FFFFFF"/>
        </w:rPr>
        <w:t>近松門左衛門『博多小女郎波枕』と抜荷</w:t>
      </w:r>
      <w:r>
        <w:rPr>
          <w:rFonts w:hint="eastAsia"/>
          <w:color w:val="000000"/>
          <w:kern w:val="0"/>
          <w:szCs w:val="21"/>
          <w:shd w:val="clear" w:color="auto" w:fill="FFFFFF"/>
        </w:rPr>
        <w:t>──</w:t>
      </w:r>
      <w:r>
        <w:rPr>
          <w:color w:val="000000"/>
          <w:kern w:val="0"/>
          <w:szCs w:val="21"/>
          <w:shd w:val="clear" w:color="auto" w:fill="FFFFFF"/>
        </w:rPr>
        <w:t>法制史における文学史料の意義</w:t>
      </w:r>
    </w:p>
    <w:p w:rsidR="003765DB" w:rsidRDefault="003765DB">
      <w:pPr>
        <w:rPr>
          <w:color w:val="000000"/>
          <w:kern w:val="0"/>
          <w:sz w:val="21"/>
          <w:szCs w:val="21"/>
          <w:shd w:val="clear" w:color="auto" w:fill="FFFFFF"/>
        </w:rPr>
      </w:pPr>
    </w:p>
    <w:p w:rsidR="003765DB" w:rsidRDefault="00E048F4">
      <w:pPr>
        <w:jc w:val="center"/>
        <w:rPr>
          <w:color w:val="000000"/>
          <w:kern w:val="0"/>
          <w:sz w:val="21"/>
          <w:szCs w:val="21"/>
          <w:shd w:val="clear" w:color="auto" w:fill="FFFFFF"/>
        </w:rPr>
      </w:pPr>
      <w:r>
        <w:rPr>
          <w:rFonts w:hint="eastAsia"/>
          <w:color w:val="000000"/>
          <w:kern w:val="0"/>
          <w:sz w:val="21"/>
          <w:szCs w:val="21"/>
          <w:shd w:val="clear" w:color="auto" w:fill="FFFFFF"/>
        </w:rPr>
        <w:t xml:space="preserve">　　　　　　　　　　　　　　　　　　　　　　　　　　</w:t>
      </w:r>
      <w:r>
        <w:rPr>
          <w:rFonts w:hint="eastAsia"/>
          <w:color w:val="000000"/>
          <w:kern w:val="0"/>
          <w:szCs w:val="21"/>
          <w:shd w:val="clear" w:color="auto" w:fill="FFFFFF"/>
        </w:rPr>
        <w:t>桑原　朝子</w:t>
      </w:r>
      <w:r>
        <w:rPr>
          <w:rFonts w:hint="eastAsia"/>
          <w:color w:val="000000"/>
          <w:kern w:val="0"/>
          <w:sz w:val="21"/>
          <w:szCs w:val="21"/>
          <w:shd w:val="clear" w:color="auto" w:fill="FFFFFF"/>
        </w:rPr>
        <w:t>（北海道大学教授）</w:t>
      </w:r>
    </w:p>
    <w:p w:rsidR="003765DB" w:rsidRDefault="003765DB">
      <w:pPr>
        <w:rPr>
          <w:color w:val="000000"/>
          <w:kern w:val="0"/>
          <w:sz w:val="21"/>
          <w:szCs w:val="21"/>
          <w:shd w:val="clear" w:color="auto" w:fill="FFFFFF"/>
        </w:rPr>
      </w:pPr>
    </w:p>
    <w:p w:rsidR="003765DB" w:rsidRDefault="00E048F4">
      <w:pPr>
        <w:rPr>
          <w:color w:val="000000"/>
          <w:kern w:val="0"/>
          <w:sz w:val="21"/>
          <w:szCs w:val="21"/>
          <w:shd w:val="clear" w:color="auto" w:fill="FFFFFF"/>
        </w:rPr>
      </w:pPr>
      <w:r>
        <w:rPr>
          <w:color w:val="000000"/>
          <w:kern w:val="0"/>
          <w:sz w:val="21"/>
          <w:szCs w:val="21"/>
          <w:shd w:val="clear" w:color="auto" w:fill="FFFFFF"/>
        </w:rPr>
        <w:t xml:space="preserve">　本報告は、</w:t>
      </w:r>
      <w:r>
        <w:rPr>
          <w:rFonts w:hint="eastAsia"/>
          <w:color w:val="000000"/>
          <w:kern w:val="0"/>
          <w:sz w:val="21"/>
          <w:szCs w:val="21"/>
          <w:shd w:val="clear" w:color="auto" w:fill="FFFFFF"/>
        </w:rPr>
        <w:t>近世日本において厳罰の対象であった抜荷（密貿易）を素材とする、近松門左衛門の世話浄瑠璃『博多小女郎波枕』のテクスト分析を通じて、従来の手法では取り組むことが難しかった法制史上の重要問題の解明に、文学史料の分析がいかに資するかを、具体的かつ歴史的に考えることを目的とする。</w:t>
      </w: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lastRenderedPageBreak/>
        <w:t xml:space="preserve">　従来の法制史研究の主たる手法は、法令やその注釈書、裁判記録等の分析であり、それにより、当時の法制度の内容が実証的に解明されてきたことは疑いない。しかし、ある法制度が現実に社会の中でいかに機能するかは、それを生み出した背景やそれに様々な形で関わる人々の意識等に規定されており、この手法のみでは十分に明らかにすることができない。すなわち、法制度を支える社会構造の探究が必要になるといえるが、その解明のためには、狭義の法制史料以外の史料、とりわけ社会構造に対する見通しを持った第一級の文学を取り上げ、多様な関連史料</w:t>
      </w:r>
      <w:r>
        <w:rPr>
          <w:rFonts w:hint="eastAsia"/>
          <w:color w:val="000000"/>
          <w:kern w:val="0"/>
          <w:sz w:val="21"/>
          <w:szCs w:val="21"/>
          <w:shd w:val="clear" w:color="auto" w:fill="FFFFFF"/>
        </w:rPr>
        <w:t>との比較を含む本格的な分析を行うことが、最も有効であると思われる。</w:t>
      </w: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t xml:space="preserve">　享保</w:t>
      </w:r>
      <w:r>
        <w:rPr>
          <w:rFonts w:hint="eastAsia"/>
          <w:color w:val="000000"/>
          <w:kern w:val="0"/>
          <w:sz w:val="21"/>
          <w:szCs w:val="21"/>
          <w:shd w:val="clear" w:color="auto" w:fill="FFFFFF"/>
        </w:rPr>
        <w:t>3</w:t>
      </w:r>
      <w:r>
        <w:rPr>
          <w:rFonts w:hint="eastAsia"/>
          <w:color w:val="000000"/>
          <w:kern w:val="0"/>
          <w:sz w:val="21"/>
          <w:szCs w:val="21"/>
          <w:shd w:val="clear" w:color="auto" w:fill="FFFFFF"/>
        </w:rPr>
        <w:t>年（</w:t>
      </w:r>
      <w:r>
        <w:rPr>
          <w:rFonts w:hint="eastAsia"/>
          <w:color w:val="000000"/>
          <w:kern w:val="0"/>
          <w:sz w:val="21"/>
          <w:szCs w:val="21"/>
          <w:shd w:val="clear" w:color="auto" w:fill="FFFFFF"/>
        </w:rPr>
        <w:t>1718</w:t>
      </w:r>
      <w:r>
        <w:rPr>
          <w:rFonts w:hint="eastAsia"/>
          <w:color w:val="000000"/>
          <w:kern w:val="0"/>
          <w:sz w:val="21"/>
          <w:szCs w:val="21"/>
          <w:shd w:val="clear" w:color="auto" w:fill="FFFFFF"/>
        </w:rPr>
        <w:t>）</w:t>
      </w:r>
      <w:r>
        <w:rPr>
          <w:rFonts w:hint="eastAsia"/>
          <w:color w:val="000000"/>
          <w:kern w:val="0"/>
          <w:sz w:val="21"/>
          <w:szCs w:val="21"/>
          <w:shd w:val="clear" w:color="auto" w:fill="FFFFFF"/>
        </w:rPr>
        <w:t>11</w:t>
      </w:r>
      <w:r>
        <w:rPr>
          <w:rFonts w:hint="eastAsia"/>
          <w:color w:val="000000"/>
          <w:kern w:val="0"/>
          <w:sz w:val="21"/>
          <w:szCs w:val="21"/>
          <w:shd w:val="clear" w:color="auto" w:fill="FFFFFF"/>
        </w:rPr>
        <w:t>月に大坂竹本座で初演された近松の『博多小女郎波枕』のテクストは、このような条件を満たす文学史料であり、約一月前に大坂町奉行所で御仕置が下された大規模な抜荷事件を直接の素材としている。本報告では、これを当該事件関係者の処罰に関する記録（『抜荷筋ニ付御触書并御仕置御下知書』所収）等と比較し、特にテクスト間の相違に着目しつつ分析することによって、記録等からは見えない問題、例えば人々を抜荷へと駆り立てる動機、その背後にある</w:t>
      </w:r>
      <w:r>
        <w:rPr>
          <w:rFonts w:hint="eastAsia"/>
          <w:color w:val="000000"/>
          <w:kern w:val="0"/>
          <w:sz w:val="21"/>
          <w:szCs w:val="21"/>
          <w:shd w:val="clear" w:color="auto" w:fill="FFFFFF"/>
        </w:rPr>
        <w:t>国内の商業と信用の不全、抜荷と抜荷犯に対する幕府と町人の間の意識の相違、享保期における幕府の抜荷対策の変化に対する人々の見方等を明らかにすることを試みる。それを通じて、文学史料の分析が、より立体的でダイナミックな法制史像の提示に繋がること、またこの手法が文学史料自体の新たな解釈も可能にし、文学の専門家との学際的な対話の道を拓くことを示したい。</w:t>
      </w:r>
    </w:p>
    <w:p w:rsidR="003765DB" w:rsidRDefault="003765DB">
      <w:pPr>
        <w:rPr>
          <w:color w:val="000000"/>
          <w:kern w:val="0"/>
          <w:sz w:val="21"/>
          <w:szCs w:val="21"/>
          <w:shd w:val="clear" w:color="auto" w:fill="FFFFFF"/>
        </w:rPr>
      </w:pPr>
    </w:p>
    <w:p w:rsidR="003765DB" w:rsidRDefault="003765DB">
      <w:pPr>
        <w:rPr>
          <w:color w:val="000000"/>
          <w:kern w:val="0"/>
          <w:sz w:val="21"/>
          <w:szCs w:val="21"/>
          <w:shd w:val="clear" w:color="auto" w:fill="FFFFFF"/>
        </w:rPr>
      </w:pPr>
    </w:p>
    <w:p w:rsidR="003765DB" w:rsidRDefault="00E048F4">
      <w:pPr>
        <w:rPr>
          <w:color w:val="000000"/>
          <w:kern w:val="0"/>
          <w:szCs w:val="21"/>
          <w:shd w:val="clear" w:color="auto" w:fill="FFFFFF"/>
        </w:rPr>
      </w:pPr>
      <w:r>
        <w:rPr>
          <w:rFonts w:hint="eastAsia"/>
          <w:color w:val="000000"/>
          <w:kern w:val="0"/>
          <w:szCs w:val="21"/>
          <w:shd w:val="clear" w:color="auto" w:fill="FFFFFF"/>
        </w:rPr>
        <w:t>継受研究と法史の理解</w:t>
      </w:r>
    </w:p>
    <w:p w:rsidR="003765DB" w:rsidRDefault="00E048F4">
      <w:pPr>
        <w:rPr>
          <w:color w:val="000000"/>
          <w:kern w:val="0"/>
          <w:szCs w:val="21"/>
          <w:shd w:val="clear" w:color="auto" w:fill="FFFFFF"/>
        </w:rPr>
      </w:pPr>
      <w:r>
        <w:rPr>
          <w:rFonts w:hint="eastAsia"/>
          <w:color w:val="000000"/>
          <w:kern w:val="0"/>
          <w:szCs w:val="21"/>
          <w:shd w:val="clear" w:color="auto" w:fill="FFFFFF"/>
        </w:rPr>
        <w:t xml:space="preserve">        </w:t>
      </w:r>
      <w:r>
        <w:rPr>
          <w:rFonts w:hint="eastAsia"/>
          <w:color w:val="000000"/>
          <w:kern w:val="0"/>
          <w:szCs w:val="21"/>
          <w:shd w:val="clear" w:color="auto" w:fill="FFFFFF"/>
        </w:rPr>
        <w:t>──</w:t>
      </w:r>
      <w:r>
        <w:rPr>
          <w:rFonts w:hint="eastAsia"/>
          <w:color w:val="000000"/>
          <w:kern w:val="0"/>
          <w:szCs w:val="21"/>
          <w:shd w:val="clear" w:color="auto" w:fill="FFFFFF"/>
        </w:rPr>
        <w:t>ロシアの視点から見たローマ・西欧法学の認識についての諸経験</w:t>
      </w:r>
    </w:p>
    <w:p w:rsidR="003765DB" w:rsidRDefault="003765DB">
      <w:pPr>
        <w:rPr>
          <w:color w:val="000000"/>
          <w:kern w:val="0"/>
          <w:szCs w:val="21"/>
          <w:shd w:val="clear" w:color="auto" w:fill="FFFFFF"/>
        </w:rPr>
      </w:pP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t xml:space="preserve">　　　　　　　　　　　　　　</w:t>
      </w:r>
      <w:r>
        <w:rPr>
          <w:rFonts w:hint="eastAsia"/>
          <w:color w:val="000000"/>
          <w:kern w:val="0"/>
          <w:szCs w:val="21"/>
          <w:shd w:val="clear" w:color="auto" w:fill="FFFFFF"/>
        </w:rPr>
        <w:t>マルティン・アヴェナリウス</w:t>
      </w:r>
      <w:r>
        <w:rPr>
          <w:rFonts w:hint="eastAsia"/>
          <w:color w:val="000000"/>
          <w:kern w:val="0"/>
          <w:sz w:val="21"/>
          <w:szCs w:val="21"/>
          <w:shd w:val="clear" w:color="auto" w:fill="FFFFFF"/>
        </w:rPr>
        <w:t>（ド</w:t>
      </w:r>
      <w:r>
        <w:rPr>
          <w:rFonts w:hint="eastAsia"/>
          <w:color w:val="000000"/>
          <w:kern w:val="0"/>
          <w:sz w:val="21"/>
          <w:szCs w:val="21"/>
          <w:shd w:val="clear" w:color="auto" w:fill="FFFFFF"/>
        </w:rPr>
        <w:t>イツ・ケルン大学教授）</w:t>
      </w:r>
    </w:p>
    <w:p w:rsidR="003765DB" w:rsidRDefault="003765DB">
      <w:pPr>
        <w:rPr>
          <w:color w:val="000000"/>
          <w:kern w:val="0"/>
          <w:sz w:val="21"/>
          <w:szCs w:val="21"/>
          <w:shd w:val="clear" w:color="auto" w:fill="FFFFFF"/>
        </w:rPr>
      </w:pP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t xml:space="preserve">　法の継受、すなわちある法の方法論、概念、あるいは個々の規則さえをも、消化しつつ別の法秩序の中へ受け入れるという現象は、さまざまな点で啓発的である。法継受の観察から、継受された法の特質を逆推しうるというだけではない。継受として観察された出来事をどのように認識するかということと、およそ歴史的な法を理解する際の原則的態度との間には、内的な諸関連もまた存在するのである。この関連について本報告は、それまでおおよそローマ法の伝統の</w:t>
      </w:r>
      <w:r>
        <w:rPr>
          <w:rFonts w:hint="eastAsia"/>
          <w:i/>
          <w:color w:val="000000"/>
          <w:kern w:val="0"/>
          <w:sz w:val="21"/>
          <w:szCs w:val="21"/>
          <w:shd w:val="clear" w:color="auto" w:fill="FFFFFF"/>
        </w:rPr>
        <w:t>外側に</w:t>
      </w:r>
      <w:r>
        <w:rPr>
          <w:rFonts w:hint="eastAsia"/>
          <w:color w:val="000000"/>
          <w:kern w:val="0"/>
          <w:sz w:val="21"/>
          <w:szCs w:val="21"/>
          <w:shd w:val="clear" w:color="auto" w:fill="FFFFFF"/>
        </w:rPr>
        <w:t>あった法秩序の代表者たちによって推進されたようなローマ法</w:t>
      </w:r>
      <w:r>
        <w:rPr>
          <w:rFonts w:hint="eastAsia"/>
          <w:color w:val="000000"/>
          <w:kern w:val="0"/>
          <w:sz w:val="21"/>
          <w:szCs w:val="21"/>
          <w:shd w:val="clear" w:color="auto" w:fill="FFFFFF"/>
        </w:rPr>
        <w:t>継受に注目した場合に、ローマ法史の理解が何を獲得しうるかを示す。</w:t>
      </w: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t xml:space="preserve">　「他者性の解釈学」を基礎とするならば、１９世紀ロシアの著作家たちの視点を考慮に</w:t>
      </w:r>
      <w:r>
        <w:rPr>
          <w:rFonts w:hint="eastAsia"/>
          <w:color w:val="000000"/>
          <w:kern w:val="0"/>
          <w:sz w:val="21"/>
          <w:szCs w:val="21"/>
          <w:shd w:val="clear" w:color="auto" w:fill="FFFFFF"/>
        </w:rPr>
        <w:lastRenderedPageBreak/>
        <w:t>入れることは、西欧的な、その限りで限定された視角をいささか拡大することを約束する。具体例によって示されるように、そこでは、ローマ法について学ぼうという多くのロシア人学者のモチベーションは、ローマ法についての彼ら独特の観念と関連していたことが明らかになる。この観念が、そもそも決して自明ではなかったように思われる継受のための努力を説明するであろう。彼らはみずからの法の</w:t>
      </w:r>
      <w:r>
        <w:rPr>
          <w:rFonts w:hint="eastAsia"/>
          <w:color w:val="000000"/>
          <w:kern w:val="0"/>
          <w:sz w:val="21"/>
          <w:szCs w:val="21"/>
          <w:shd w:val="clear" w:color="auto" w:fill="FFFFFF"/>
        </w:rPr>
        <w:t>近代化を、よりによって１５００年以上も昔の法に基づいて実行しようとしたのである。ロシアの法律家たちは、方法と分化した概念に富んだものとしてローマ法を認識したが、そうした豊富さはツァーリの帝国の実定法には存在しなかったのであった。</w:t>
      </w:r>
    </w:p>
    <w:p w:rsidR="003765DB" w:rsidRDefault="00E048F4">
      <w:pPr>
        <w:rPr>
          <w:color w:val="000000"/>
          <w:kern w:val="0"/>
          <w:sz w:val="21"/>
          <w:szCs w:val="21"/>
          <w:shd w:val="clear" w:color="auto" w:fill="FFFFFF"/>
        </w:rPr>
      </w:pPr>
      <w:r>
        <w:rPr>
          <w:rFonts w:hint="eastAsia"/>
          <w:color w:val="000000"/>
          <w:kern w:val="0"/>
          <w:sz w:val="21"/>
          <w:szCs w:val="21"/>
          <w:shd w:val="clear" w:color="auto" w:fill="FFFFFF"/>
        </w:rPr>
        <w:t xml:space="preserve">　ローマ法に対する批判者たちのローマ法認識もまた、多くのことを教えてくれる。彼らは、ローマ法が外国から来た法であり、そのテクストがラテン語で書かれているからという理由だけで、ローマ法を拒絶したのではない。ローマ法の「他者性」という認識そのものがまさに、個人主義の促進や主観的権利の意</w:t>
      </w:r>
      <w:r>
        <w:rPr>
          <w:rFonts w:hint="eastAsia"/>
          <w:color w:val="000000"/>
          <w:kern w:val="0"/>
          <w:sz w:val="21"/>
          <w:szCs w:val="21"/>
          <w:shd w:val="clear" w:color="auto" w:fill="FFFFFF"/>
        </w:rPr>
        <w:t>味での法の観念といった諸特徴が独特でスラヴの伝統とは無縁なものとして現れるという結果をもたらしたのである。国家の側から推進された法律実証主義を掘り崩しかねないような、一般的規則の形成をローマ法が可能にする、というローマ法継受に対する非難も、西欧的視点からすると、意表を突くものである。</w:t>
      </w:r>
    </w:p>
    <w:p w:rsidR="003765DB" w:rsidRDefault="003765DB">
      <w:pPr>
        <w:rPr>
          <w:color w:val="000000"/>
          <w:kern w:val="0"/>
          <w:sz w:val="21"/>
          <w:szCs w:val="21"/>
          <w:shd w:val="clear" w:color="auto" w:fill="FFFFFF"/>
        </w:rPr>
      </w:pPr>
    </w:p>
    <w:p w:rsidR="003765DB" w:rsidRDefault="003765DB">
      <w:pPr>
        <w:rPr>
          <w:color w:val="000000"/>
          <w:kern w:val="0"/>
          <w:sz w:val="21"/>
          <w:szCs w:val="21"/>
          <w:shd w:val="clear" w:color="auto" w:fill="FFFFFF"/>
        </w:rPr>
      </w:pP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p w:rsidR="003765DB" w:rsidRDefault="003765DB">
      <w:pPr>
        <w:rPr>
          <w:rFonts w:ascii="ＭＳ ゴシック" w:hAnsi="ＭＳ ゴシック"/>
          <w:color w:val="000000"/>
          <w:sz w:val="21"/>
          <w:szCs w:val="22"/>
        </w:rPr>
      </w:pPr>
    </w:p>
    <w:sectPr w:rsidR="003765DB">
      <w:footerReference w:type="default" r:id="rId13"/>
      <w:pgSz w:w="11900" w:h="16840"/>
      <w:pgMar w:top="1985" w:right="1701" w:bottom="1701" w:left="1701" w:header="851" w:footer="992"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F4" w:rsidRDefault="00E048F4">
      <w:r>
        <w:separator/>
      </w:r>
    </w:p>
  </w:endnote>
  <w:endnote w:type="continuationSeparator" w:id="0">
    <w:p w:rsidR="00E048F4" w:rsidRDefault="00E0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1C" w:rsidRDefault="00974C1C">
    <w:pPr>
      <w:pStyle w:val="a3"/>
      <w:jc w:val="center"/>
    </w:pPr>
    <w:r>
      <w:fldChar w:fldCharType="begin"/>
    </w:r>
    <w:r>
      <w:instrText>PAGE   \* MERGEFORMAT</w:instrText>
    </w:r>
    <w:r>
      <w:fldChar w:fldCharType="separate"/>
    </w:r>
    <w:r w:rsidRPr="00974C1C">
      <w:rPr>
        <w:noProof/>
        <w:lang w:val="ja-JP"/>
      </w:rPr>
      <w:t>5</w:t>
    </w:r>
    <w:r>
      <w:fldChar w:fldCharType="end"/>
    </w:r>
  </w:p>
  <w:p w:rsidR="003765DB" w:rsidRDefault="003765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F4" w:rsidRDefault="00E048F4">
      <w:r>
        <w:separator/>
      </w:r>
    </w:p>
  </w:footnote>
  <w:footnote w:type="continuationSeparator" w:id="0">
    <w:p w:rsidR="00E048F4" w:rsidRDefault="00E04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5DB"/>
    <w:rsid w:val="003765DB"/>
    <w:rsid w:val="00974C1C"/>
    <w:rsid w:val="00E04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er" w:semiHidden="0" w:uiPriority="0" w:unhideWhenUsed="0"/>
    <w:lsdException w:name="footer" w:semiHidden="0" w:unhideWhenUsed="0"/>
    <w:lsdException w:name="Default Paragraph Fon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style>
  <w:style w:type="paragraph" w:styleId="a5">
    <w:name w:val="header"/>
    <w:basedOn w:val="a"/>
    <w:pPr>
      <w:tabs>
        <w:tab w:val="center" w:pos="4153"/>
        <w:tab w:val="right" w:pos="8306"/>
      </w:tabs>
      <w:snapToGrid w:val="0"/>
    </w:pPr>
  </w:style>
  <w:style w:type="character" w:styleId="a6">
    <w:name w:val="Hyperlink"/>
    <w:uiPriority w:val="99"/>
    <w:semiHidden/>
    <w:unhideWhenUsed/>
    <w:rPr>
      <w:color w:val="0000FF"/>
      <w:u w:val="single"/>
    </w:rPr>
  </w:style>
  <w:style w:type="character" w:customStyle="1" w:styleId="a4">
    <w:name w:val="フッター (文字)"/>
    <w:link w:val="a3"/>
    <w:uiPriority w:val="99"/>
    <w:rsid w:val="00974C1C"/>
    <w:rPr>
      <w:rFonts w:ascii="Century" w:eastAsia="ＭＳ 明朝" w:hAnsi="Century"/>
      <w:kern w:val="2"/>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eiji.ac.jp/koho/campus_guide/suruga/campu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meiji.ac.jp/koho/campus_guide/suruga/6t5h7p000001h0z0-img/720_campus_suruga.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meiji.ac.jp/koho/campus_guide/suruga/6t5h7p000001h0vk-img/surugadai_1.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秋季シンポジウム企画書</dc:title>
  <dc:creator>NISHIKAWA Yoichi</dc:creator>
  <cp:lastModifiedBy>Genka</cp:lastModifiedBy>
  <cp:revision>1</cp:revision>
  <cp:lastPrinted>2015-07-22T08:17:00Z</cp:lastPrinted>
  <dcterms:created xsi:type="dcterms:W3CDTF">2014-05-28T09:27:00Z</dcterms:created>
  <dcterms:modified xsi:type="dcterms:W3CDTF">2015-07-27T09:35:00Z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